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Chief Information Security Officer | Global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Enterprise Cyber Risk, Regulatory Engagement &amp; Incident Response Leadership</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Executive Communication &amp;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leading enterprise-wide security strategy across global financial institutions and asset managers. Proven CISO experience directing cyber risk, identity, data protection, and incident response programs in highly regulated environments, including direct engagement with global regulators. Skilled at translating complex technical risk into clear guidance for executive leadership and non-technical stakeholders, with strong judgment, discretion, and credibility across the organization.</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enterprise-wide advisory oversight</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primary liaison with global regulators on cybersecurity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enterprise cybersecurity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senior leadership and clients within Franklin Templeton's Fiduciary Trust subsidiary on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enterprise-wide cybersecurity strategy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enterprise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CISO-level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