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cybersecurity executive | regulated financial services &amp; market infrastructure</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regulatory engagement &amp; board reporting</w:t>
      </w:r>
    </w:p>
    <w:p w14:paraId="549E51F5" w14:textId="0CE22447" w:rsidR="00972243" w:rsidRPr="00332ABC" w:rsidRDefault="00972243" w:rsidP="006C0298">
      <w:pPr>
        <w:pStyle w:val="LuHeading"/>
        <w:tabs>
          <w:tab w:val="left" w:pos="10800"/>
        </w:tabs>
        <w:spacing w:before="0" w:after="240"/>
      </w:pPr>
      <w:r w:rsidRPr="00332ABC">
        <w:rPr>
          <w:sz w:val="22"/>
          <w:szCs w:val="22"/>
        </w:rPr>
        <w:t>Security program governance | incident response &amp; policy management</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executive with 20+ years leading enterprise information security programs across global financial institutions and market-facing organizations. Extensive experience serving as an independent second line of defense, engaging regulators directly, and reporting cyber risk posture and control effectiveness to senior leadership. Skilled in incident response planning, policy governance, and third-party risk oversight, with a proven ability to translate technical risk into clear guidance for executives and boards. Track record of building high-performing security teams and modernizing security policy to meet evolving regulatory expectations.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supporting board and executive reporting obligations.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oversight of enterprise information security program design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 reporting risk exposure to senior leadership.</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Owned and modernized cybersecurity policies, standards, and guidelines to meet regulatory expectations and support audit readiness.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enterprise-wide information security program design and oversight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to strengthen organizational resilience.</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