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cybersecurity risk executive | global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leadership | regulatory &amp; incident advisory</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Cybersecurity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of experience across global financial institutions, asset managers, and advisory roles, including second line of defense oversight and regional risk governance. Deep background in cyber risk oversight, identity security, data protection, and incident response, with a demonstrated ability to translate complex technical risk into clear, executive-level guidance. Extensive experience engaging senior leadership, regulators, and cross-functional stakeholders across multiple regions and business units. Proven educator and speaker with strong judgment, discretion, and credibility in building security governance programs that align with regulatory expectations.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cross-regional cyber risk oversight for data protection, privacy, and identity security across enterprise platforms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regional and global regulatory expectations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regional and senior leadership on cyber risk exposure, residual risk, and prioritization across global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Acted as regional liaison to global regulators on cybersecurity posture and resilience, coordinating remediation strategy in a second line of defense capacity</w:t>
      </w:r>
    </w:p>
    <w:p w14:paraId="66ED3D39" w14:textId="77777777" w:rsidR="00972243" w:rsidRDefault="00972243" w:rsidP="005D3745">
      <w:pPr>
        <w:pStyle w:val="LuCVbluebullets"/>
        <w:tabs>
          <w:tab w:val="left" w:pos="10800"/>
        </w:tabs>
      </w:pPr>
      <w:r>
        <w:t>Oversaw global adversarial emulation exercises focused on preparedness, judgment, and incident response readiness across regions</w:t>
      </w:r>
    </w:p>
    <w:p w14:paraId="2C8A36CA" w14:textId="36843124" w:rsidR="00972243" w:rsidRDefault="00972243" w:rsidP="005D3745">
      <w:pPr>
        <w:pStyle w:val="LuCVbluebullets"/>
        <w:tabs>
          <w:tab w:val="left" w:pos="10800"/>
        </w:tabs>
      </w:pPr>
      <w:r>
        <w:t>Reviewed and modernized cybersecurity policies, standards, and guidelines to meet regional and global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