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24"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 risk &amp; governance executive | financial services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Policy, Risk Standards &amp; Controls | Second Line of Defense</w:t>
      </w:r>
    </w:p>
    <w:p w14:paraId="549E51F5" w14:textId="0CE22447" w:rsidR="00972243" w:rsidRPr="00332ABC" w:rsidRDefault="00972243" w:rsidP="006C0298">
      <w:pPr>
        <w:pStyle w:val="LuHeading"/>
        <w:tabs>
          <w:tab w:val="left" w:pos="10800"/>
        </w:tabs>
        <w:spacing w:before="0" w:after="240"/>
      </w:pPr>
      <w:r w:rsidRPr="00332ABC">
        <w:rPr>
          <w:sz w:val="22"/>
          <w:szCs w:val="22"/>
        </w:rPr>
        <w:t>Data, Identity &amp; Privacy Risk Governance | Executive Education</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risk governance executive with 20+ years building and running risk oversight frameworks, policies, and controls across global financial institutions. Background spans second line of defense risk governance, cybersecurity policy and standards modernization, and direct engagement with regulators, with a demonstrated ability to translate complex and emerging technical risk, including AI-driven threat detection, into clear executive-level guidance. Extensive experience partnering with senior leaders, legal, and compliance functions to align risk posture, controls, and governance standards with business objectives. Proven educator and speaker with strong judgment, discretion, and credibility in setting enterprise risk standards.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governance for data protection, privacy, and identity security</w:t>
      </w:r>
    </w:p>
    <w:p w14:paraId="1953782A" w14:textId="77777777" w:rsidR="00972243" w:rsidRDefault="00972243" w:rsidP="005D3745">
      <w:pPr>
        <w:pStyle w:val="LuCVbluebullets"/>
        <w:tabs>
          <w:tab w:val="left" w:pos="10800"/>
        </w:tabs>
      </w:pPr>
      <w:r>
        <w:t>Advise senior executives on cyber risk exposure, control effectiveness, and governance-aligned risk-reduction</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standards for a global team of senior cyber risk professionals.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advisory oversight across vulnerability management, incident response, threat intelligence, security operations, policy governance, standards, and controls.</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cybersecurity posture, resilience, and remediation strategy.</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risk standards, and controls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risk governance and standards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cryptography, and operational risk.</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1F320DE5" w14:textId="255326C6" w:rsidR="006E3334" w:rsidRPr="00F62FAA" w:rsidRDefault="006E3334" w:rsidP="006E3334">
      <w:pPr>
        <w:pStyle w:val="Style1"/>
        <w:tabs>
          <w:tab w:val="clear" w:pos="6002"/>
          <w:tab w:val="left" w:pos="6940"/>
          <w:tab w:val="left" w:pos="10800"/>
        </w:tabs>
        <w:spacing w:line="240" w:lineRule="auto"/>
        <w:rPr>
          <w:sz w:val="6"/>
          <w:szCs w:val="6"/>
        </w:rPr>
      </w:pPr>
      <w:r w:rsidRPr="00F62FAA">
        <w:rPr>
          <w:sz w:val="6"/>
          <w:szCs w:val="6"/>
        </w:rPr>
        <w:tab/>
      </w:r>
    </w:p>
    <w:p w14:paraId="62E0821C" w14:textId="2D513384" w:rsidR="006E3334" w:rsidRDefault="006E3334" w:rsidP="006E3334">
      <w:pPr>
        <w:pStyle w:val="LuCVsubtitleswline"/>
        <w:tabs>
          <w:tab w:val="left" w:pos="10800"/>
        </w:tabs>
        <w:spacing w:before="20" w:line="221" w:lineRule="auto"/>
      </w:pPr>
      <w:r>
        <w:t>Private Bank Relevance</w:t>
      </w:r>
    </w:p>
    <w:p w14:paraId="5D0F3BAB" w14:textId="77777777" w:rsidR="006E3334" w:rsidRPr="006E3334" w:rsidRDefault="006E3334" w:rsidP="006E3334">
      <w:pPr>
        <w:pStyle w:val="LuCVbluebullets"/>
      </w:pPr>
      <w:r w:rsidRPr="006E3334">
        <w:t>Identity compromise, privacy exposure, fraud, and digital asset risk are primary cyber threats to UHNW individuals and family offices.</w:t>
      </w:r>
    </w:p>
    <w:p w14:paraId="6139BE33" w14:textId="06E5FB85" w:rsidR="006E3334" w:rsidRPr="006E3334" w:rsidRDefault="004A2C8B" w:rsidP="006E3334">
      <w:pPr>
        <w:pStyle w:val="LuCVbluebullets"/>
      </w:pPr>
      <w:r w:rsidRPr="004A2C8B">
        <w:t>Career experience translating institutional cyber risk into practical, personal, and reputational impact considerations applicable to Private Bank clients.</w:t>
      </w: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Delivering advanced cybersecurity research on AI-driven risk and threat detection to a non-technical audience</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24"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