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24"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risk executive | financial services &amp; fintech</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Second line of defense | enterprise risk program leadership</w:t>
      </w:r>
    </w:p>
    <w:p w14:paraId="549E51F5" w14:textId="0CE22447" w:rsidR="00972243" w:rsidRPr="00332ABC" w:rsidRDefault="00972243" w:rsidP="006C0298">
      <w:pPr>
        <w:pStyle w:val="LuHeading"/>
        <w:tabs>
          <w:tab w:val="left" w:pos="10800"/>
        </w:tabs>
        <w:spacing w:before="0" w:after="240"/>
      </w:pPr>
      <w:r w:rsidRPr="00332ABC">
        <w:rPr>
          <w:sz w:val="22"/>
          <w:szCs w:val="22"/>
        </w:rPr>
        <w:t>Cyber, Technology &amp; Operational Risk | Regulatory Engagement</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executive with 20+ years building and overseeing risk functions across global financial institutions and asset managers. Background spans second line of defense risk oversight, regulatory engagement, and leading global teams through unclear or evolving regulatory expectations. Skilled at translating complex technical and operational risk into practical, executive-level decisions, and at supporting a strong culture of compliance across large, distributed organizations.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risk exposure, control effectiveness, and practical risk-reduction actions across the enterprise.</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risk team, building organizational capability and leadership bench strength.</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Built and led a cyber risk program within Citi's Second Line of Defense, providing independent challenge and advisory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primary liaison with global regulators on risk posture, resilience, and remediation strategy, supporting a strong culture of compliance.</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risk policies, standards, and guidelines to meet evolving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building and overseeing global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24"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