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technology &amp; cybersecurity risk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First &amp; Second Line of Defense Risk Oversight | Regulatory Engagement</w:t>
      </w:r>
    </w:p>
    <w:p w14:paraId="549E51F5" w14:textId="0CE22447" w:rsidR="00972243" w:rsidRPr="00332ABC" w:rsidRDefault="00972243" w:rsidP="006C0298">
      <w:pPr>
        <w:pStyle w:val="LuHeading"/>
        <w:tabs>
          <w:tab w:val="left" w:pos="10800"/>
        </w:tabs>
        <w:spacing w:before="0" w:after="240"/>
      </w:pPr>
      <w:r w:rsidRPr="00332ABC">
        <w:rPr>
          <w:sz w:val="22"/>
          <w:szCs w:val="22"/>
        </w:rPr>
        <w:t>Identity, Data &amp; Privacy Risk | Executive Advisory &amp; Communication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technology and cybersecurity risk executive with 20+ years across global financial institutions, spanning both first and second line of defense roles. Deep background in cyber risk oversight, control governance, identity security, and data protection, with direct experience advising CTOs, CISOs, and senior leadership on control effectiveness and risk exposure. Extensive experience engaging regulators and translating complex technical risk into clear, actionable guidance for executive and board audiences. Proven track record building and modernizing risk programs and policies to align with regulatory expectations across large, multi-entity organizations.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risk oversight and control assessment for data protection, privacy, and identity security across enterprise platforms, cloud environments, and third-party ecosystems.</w:t>
      </w:r>
    </w:p>
    <w:p w14:paraId="1953782A" w14:textId="77777777" w:rsidR="00972243" w:rsidRDefault="00972243" w:rsidP="005D3745">
      <w:pPr>
        <w:pStyle w:val="LuCVbluebullets"/>
        <w:tabs>
          <w:tab w:val="left" w:pos="10800"/>
        </w:tabs>
      </w:pPr>
      <w:r>
        <w:t>Advise senior executives on cyber risk exposure, control effectiveness, and remediation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control oversight across vulnerability management, incident response, threat intelligence, security operations, and policy governance.</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key liaison with global regulators on cybersecurity posture, control environment, and remediation strategy during exams and reviews.</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cybersecurity policies, standards, and guidelines to align the control environment with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and risk management across 45 countries and multiple legal entities,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