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risk management executive | financial services</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Second line of defense | regulatory engagement &amp; operational risk</w:t>
      </w:r>
    </w:p>
    <w:p w14:paraId="549E51F5" w14:textId="0CE22447" w:rsidR="00972243" w:rsidRPr="00332ABC" w:rsidRDefault="00972243" w:rsidP="006C0298">
      <w:pPr>
        <w:pStyle w:val="LuHeading"/>
        <w:tabs>
          <w:tab w:val="left" w:pos="10800"/>
        </w:tabs>
        <w:spacing w:before="0" w:after="240"/>
      </w:pPr>
      <w:r w:rsidRPr="00332ABC">
        <w:rPr>
          <w:sz w:val="22"/>
          <w:szCs w:val="22"/>
        </w:rPr>
        <w:t>Risk governance, controls &amp; incident response | executive education</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risk management executive with 20+ years across global financial institutions, asset managers, and advisory roles, including second line of defense oversight, incident response, and regulatory engagement. Experienced in building and modernizing control frameworks, investigating and escalating risk exceptions, and driving governance improvements across large, complex organizations. Skilled at translating technical risk findings into clear executive decision briefs and working across legal, compliance, technology, and business stakeholders. Proven track record leading global teams, coordinating with regulators, and improving operational and reputational risk posture.</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global cyber risk oversight for data protection, privacy, and identity security across enterprise platforms, cloud environments, and third-party ecosystems.</w:t>
      </w:r>
    </w:p>
    <w:p w14:paraId="1953782A" w14:textId="77777777" w:rsidR="00972243" w:rsidRDefault="00972243" w:rsidP="005D3745">
      <w:pPr>
        <w:pStyle w:val="LuCVbluebullets"/>
        <w:tabs>
          <w:tab w:val="left" w:pos="10800"/>
        </w:tabs>
      </w:pPr>
      <w:r>
        <w:t>Advise senior executives on cyber risk exposure, control effectiveness, and practical risk-reduction actions impacting customers, employees, and business operations.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risk posture with regulatory expectations and operational objectives.</w:t>
      </w:r>
    </w:p>
    <w:p w14:paraId="6BFD4CB9" w14:textId="051439EA" w:rsidR="00972243" w:rsidRDefault="00972243" w:rsidP="005D3745">
      <w:pPr>
        <w:pStyle w:val="LuCVbluebullets"/>
        <w:tabs>
          <w:tab w:val="left" w:pos="10800"/>
        </w:tabs>
      </w:pPr>
      <w:r>
        <w:t>Lead, coach, and set standards for a global team of senior cyber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cyber risk leader within Citi's Second Line of Defense providing independent challenge and advisory oversight across vulnerability management, incident response, threat intelligence, security operations, and policy governance.</w:t>
      </w:r>
    </w:p>
    <w:p w14:paraId="5A7E5216" w14:textId="77777777" w:rsidR="00972243" w:rsidRDefault="00972243" w:rsidP="005D3745">
      <w:pPr>
        <w:pStyle w:val="LuCVbluebullets"/>
        <w:tabs>
          <w:tab w:val="left" w:pos="10800"/>
        </w:tabs>
      </w:pPr>
      <w:r>
        <w:t>Advised senior leadership on risk exposure, residual risk, and prioritization across global operations, supporting root cause analysis and issue escalation.</w:t>
      </w:r>
    </w:p>
    <w:p w14:paraId="554E9862" w14:textId="77777777" w:rsidR="00972243" w:rsidRDefault="00972243" w:rsidP="005D3745">
      <w:pPr>
        <w:pStyle w:val="LuCVbluebullets"/>
        <w:tabs>
          <w:tab w:val="left" w:pos="10800"/>
        </w:tabs>
      </w:pPr>
      <w:r>
        <w:t>Translated complex technical and operational findings into clear executive decision briefs for non-technical leadership and cross-functional stakeholders.</w:t>
      </w:r>
    </w:p>
    <w:p w14:paraId="7547A7DD" w14:textId="77777777" w:rsidR="00972243" w:rsidRDefault="00972243" w:rsidP="005D3745">
      <w:pPr>
        <w:pStyle w:val="LuCVbluebullets"/>
        <w:tabs>
          <w:tab w:val="left" w:pos="10800"/>
        </w:tabs>
      </w:pPr>
      <w:r>
        <w:t>Served as liaison with global regulators on risk posture, resilience, and remediation strategy, supporting audits and compliance assessments.</w:t>
      </w:r>
    </w:p>
    <w:p w14:paraId="66ED3D39" w14:textId="77777777" w:rsidR="00972243" w:rsidRDefault="00972243" w:rsidP="005D3745">
      <w:pPr>
        <w:pStyle w:val="LuCVbluebullets"/>
        <w:tabs>
          <w:tab w:val="left" w:pos="10800"/>
        </w:tabs>
      </w:pPr>
      <w:r>
        <w:t>Oversaw global exercises and simulations with a focus on preparedness, incident response readiness, and executive decision-making under pressure.</w:t>
      </w:r>
    </w:p>
    <w:p w14:paraId="2C8A36CA" w14:textId="36843124" w:rsidR="00972243" w:rsidRDefault="00972243" w:rsidP="005D3745">
      <w:pPr>
        <w:pStyle w:val="LuCVbluebullets"/>
        <w:tabs>
          <w:tab w:val="left" w:pos="10800"/>
        </w:tabs>
      </w:pPr>
      <w:r>
        <w:t>Reviewed and modernized risk policies, standards, and guidelines to meet regulatory expectations, maintaining governance frameworks and escalating exceptions for resolution.</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cybersecurity and risk management across 45 countries supporting $1.7T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