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technology &amp; AI risk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Second-line risk oversight | cybersecurity, IT resilience &amp; regulatory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AI Risk Governance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technology and cyber risk executive with 20+ years of experience across global financial institutions and asset managers, including second-line risk oversight roles at American Express and Citigroup and CISO-equivalent leadership at Franklin Templeton. Deep background in technology risk governance, identity and data risk, third-party risk, and incident preparedness, with a consistent record of translating complex technical risk into clear, decision-oriented guidance for senior leadership and regulators. Experienced building and modernizing risk frameworks, policies, and escalation pathways across large, complex organizations, with a proven ability to engage first-line technology and security leaders as an independent second-line challenge function.</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second-line risk oversight for data protection, privacy, and identity security across enterprise platforms, cloud environments, and third-party technology ecosystems.</w:t>
      </w:r>
    </w:p>
    <w:p w14:paraId="1953782A" w14:textId="77777777" w:rsidR="00972243" w:rsidRDefault="00972243" w:rsidP="005D3745">
      <w:pPr>
        <w:pStyle w:val="LuCVbluebullets"/>
        <w:tabs>
          <w:tab w:val="left" w:pos="10800"/>
        </w:tabs>
      </w:pPr>
      <w:r>
        <w:t>Advise senior executives on technology risk exposure, control effectiveness, and practical risk-reduction actions impacting customers, employees, and business operations, synthesizing complex risk into decision-oriented guidance.</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technology risk leader within Citi's Second Line of Defense, providing independent challenge and oversight across core technology risk domains including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technology risk posture, resilience, and remediation strategy, representing the organization in regulatory discussions on cyber and IT risk.</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technology risk policies, standards, and governance frameworks to meet evolving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technology risk management and resilience across 45 countries supporting $1.7T AUM, building governance structures and control frameworks at enterprise scale.</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research on AI-driven threat detection to a non-technical audience in under three minutes, demonstrating the clarity and executive communication skill needed to translate AI and technology risk for senior stakeholders.</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