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 risk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Foundation for uhnw &amp; family office cyber advisory</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executive with 20+ years of experience across global financial institutions, providing independent risk oversight, governance, and advisory support to senior leadership. Background spans operational and cyber risk management, incident and issue analysis, scenario-based and tabletop exercises, and regulatory liaison across complex global organizations. Skilled at partnering across business units and lines of defense to set standards, strengthen controls, and drive organizational resilience. Proven ability to translate complex risk topics into clear guidance for senior executives and non-technical stakeholders.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tab/>
        <w:t>2025 - Present</w:t>
      </w:r>
      <w:r w:rsidR="00705759"/>
      <w:r/>
      <w:r w:rsidR="004717E9"/>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operational risk exposure, control effectiveness, and risk-reduction actions impacting customers, employees, and business operations, supporting risk governance and decision-making.</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tab/>
        <w:t>2023 - 2025</w:t>
      </w:r>
      <w:r w:rsidR="00A3408F"/>
      <w:r/>
      <w:r w:rsidR="004717E9"/>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operational risk posture, resilience, and remediation strategy.</w:t>
      </w:r>
    </w:p>
    <w:p w14:paraId="66ED3D39" w14:textId="77777777" w:rsidR="00972243" w:rsidRDefault="00972243" w:rsidP="005D3745">
      <w:pPr>
        <w:pStyle w:val="LuCVbluebullets"/>
        <w:tabs>
          <w:tab w:val="left" w:pos="10800"/>
        </w:tabs>
      </w:pPr>
      <w:r>
        <w:t>Led global adversarial emulation exercises focused on organizational resilience, preparedness, and executive response readiness.</w:t>
      </w:r>
    </w:p>
    <w:p w14:paraId="2C8A36CA" w14:textId="36843124" w:rsidR="00972243" w:rsidRDefault="00972243" w:rsidP="005D3745">
      <w:pPr>
        <w:pStyle w:val="LuCVbluebullets"/>
        <w:tabs>
          <w:tab w:val="left" w:pos="10800"/>
        </w:tabs>
      </w:pPr>
      <w:r>
        <w:t>Reviewed and modernized risk policies, standards, and guidelines to meet regulatory expectations and support governance consistency across business units.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tab/>
        <w:t>2019 - 2023</w:t>
      </w:r>
      <w:r w:rsidR="008D49EC"/>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operational risk management across 45 countries supporting $1.7T AUM, ensuring consistent risk governance across regions.</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and crisis response planning, executive tabletop exercises, and crisis simulations supporting organizational resilience.</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tab/>
        <w:t>2020 - 2023</w:t>
      </w:r>
      <w:r w:rsidR="00CD0D1B"/>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tab/>
        <w:t>2008 - 2015</w:t>
      </w:r>
      <w:r w:rsidR="008D49EC"/>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tab/>
        <w:t>2003 - 2008</w:t>
      </w:r>
      <w:r w:rsidR="008D49EC"/>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Adjunct Professor, Center for Cybersecurity 2019 - Present</w:t>
      </w:r>
      <w:r w:rsidR="00A35544"/>
      <w:r w:rsidRPr="00173EDF"/>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 - PMI Project Management Professional (PMP) - ITIL Foundation Certified - Certified Disciplined Agilist - Enterprise Lean Six Sigma Green Belt - CISSP (Candidate) - IBM Certified Professional - Project Management - New York State Notary Public</w:t>
      </w:r>
      <w:r w:rsidRPr="00F51422">
        <w:rPr>
          <w:spacing w:val="-2"/>
          <w:sz w:val="18"/>
          <w:szCs w:val="20"/>
        </w:rPr>
      </w:r>
      <w:r w:rsidRPr="00F51422">
        <w:rPr>
          <w:spacing w:val="-2"/>
          <w:sz w:val="14"/>
          <w:szCs w:val="20"/>
        </w:rPr>
      </w:r>
      <w:r w:rsidRPr="00F51422">
        <w:rPr>
          <w:spacing w:val="-2"/>
          <w:sz w:val="18"/>
          <w:szCs w:val="20"/>
        </w:rPr>
      </w:r>
      <w:r w:rsidRPr="00835B30">
        <w:rPr>
          <w:spacing w:val="-2"/>
          <w:sz w:val="18"/>
          <w:szCs w:val="20"/>
        </w:rPr>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