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Cybersecurity leader | security architecture &amp; engineering across global financial institutions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oversight | vulnerability management &amp; regulatory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Technical Team Leadership &amp;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Cybersecurity executive with 20+ years leading security architecture, engineering, and risk oversight across global financial institutions, asset managers, and advisory roles. Deep background in cyber risk oversight, identity and access management, data protection, vulnerability management, and cloud security across enterprise and third-party ecosystems. Track record building and leading technical teams, setting security standards, managing budgets, and translating complex risk into clear guidance for executives, regulators, and non-technical stakeholders. Experienced advising on emerging technology, from post-quantum cryptography to blockchain architecture, and delivering executive-level training on security concepts.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security architecture and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integrate security requirements into technology initiatives and align risk posture with regulatory expectations.</w:t>
      </w:r>
    </w:p>
    <w:p w14:paraId="6BFD4CB9" w14:textId="051439EA" w:rsidR="00972243" w:rsidRDefault="00972243" w:rsidP="005D3745">
      <w:pPr>
        <w:pStyle w:val="LuCVbluebullets"/>
        <w:tabs>
          <w:tab w:val="left" w:pos="10800"/>
        </w:tabs>
      </w:pPr>
      <w:r>
        <w:t>Lead, mentor, and set technical standards for a global team of senior cyber risk professionals, with a focus on career development and leadership growth.</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security operations, threat intelligence,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Managed relationships with global regulators on cybersecurity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architecture and risk management program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evaluating emerging blockchain and cryptographic technology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