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VP-level cybersecurity executive | financial services &amp; regulated industries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 regulatory engagement &amp; board reporting</w:t>
      </w:r>
    </w:p>
    <w:p w14:paraId="549E51F5" w14:textId="0CE22447" w:rsidR="00972243" w:rsidRPr="00332ABC" w:rsidRDefault="00972243" w:rsidP="006C0298">
      <w:pPr>
        <w:pStyle w:val="LuHeading"/>
        <w:tabs>
          <w:tab w:val="left" w:pos="10800"/>
        </w:tabs>
        <w:spacing w:before="0" w:after="240"/>
      </w:pPr>
      <w:r w:rsidRPr="00332ABC">
        <w:rPr>
          <w:sz w:val="22"/>
          <w:szCs w:val="22"/>
        </w:rPr>
        <w:t>Identity, cloud &amp; third-party risk | incident response leadership</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cybersecurity and risk executive with 20+ years of experience across global financial institutions and asset managers, including second line of defense and CISO roles. Deep background in cyber risk governance, identity and access management, data protection, third-party risk, and incident response, with direct experience briefing regulators, boards, and senior executives on cybersecurity posture and remediation. Skilled at translating technical risk into clear, business-ready decisions while operating independently of day-to-day technology delivery.</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oversight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across enterprise platforms, cloud, and third-party ecosystems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oversight across vulnerability management, incident response, threat intelligence, and security operations while remaining separate from technology delivery</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liaison with global regulators on cybersecurity posture, resilience, and remediation strategy, delivering board and regulatory reporting on risk exposure</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cybersecurity policies, standards, and governance guidelines to meet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strategy and risk management across 45 countries supporting $1.7T AUM as CISO</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 at the enterprise level.</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