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cyber risk executive | advisory practice leadership</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Cybersecurity advisory &amp; consulting | C-suite &amp; board engagement</w:t>
      </w:r>
    </w:p>
    <w:p w14:paraId="549E51F5" w14:textId="0CE22447" w:rsidR="00972243" w:rsidRPr="00332ABC" w:rsidRDefault="00972243" w:rsidP="006C0298">
      <w:pPr>
        <w:pStyle w:val="LuHeading"/>
        <w:tabs>
          <w:tab w:val="left" w:pos="10800"/>
        </w:tabs>
        <w:spacing w:before="0" w:after="240"/>
      </w:pPr>
      <w:r w:rsidRPr="00332ABC">
        <w:rPr>
          <w:sz w:val="22"/>
          <w:szCs w:val="22"/>
        </w:rPr>
        <w:t>M&amp;A cyber due diligence &amp; transaction advisory | practice building &amp; thought leadership</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cybersecurity and risk executive with 20+ years across global financial institutions, asset managers, and advisory consulting. Built and led cyber advisory practices with direct business-development and P&amp;L responsibility, and ran cybersecurity due diligence on buy- and sell-side deals that shaped how investors saw risk, price, and post-close priorities. Trusted advisor to CEOs, boards, and regulators on cyber risk, resilience, and complex financial products, including the world's first SEC-approved tokenized government money fund. Builds high-performing teams, wins and runs client engagements, and turns technical risk into decisions investors and executives can act on.</w:t>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cyber risk oversight for data protection, privacy, and identity security across enterprise platforms, cloud environments, and third-party ecosystems.</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Give executives and business leaders a clear read on cyber, privacy, and identity risk, and the specific actions that reduce it.</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delivery standards for a global team of senior cyber risk professionals, building talent and consistent advisory methodology across the group.</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advisory oversight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Turned technical findings into concise decision briefs for senior leadership and the board.</w:t>
      </w:r>
    </w:p>
    <w:p w14:paraId="7547A7DD" w14:textId="77777777" w:rsidR="00972243" w:rsidRDefault="00972243" w:rsidP="005D3745">
      <w:pPr>
        <w:pStyle w:val="LuCVbluebullets"/>
        <w:tabs>
          <w:tab w:val="left" w:pos="10800"/>
        </w:tabs>
      </w:pPr>
      <w:r>
        <w:t>Acted as primary liaison with global regulators on cybersecurity posture, resilience, and remediation strategy, translating regulatory expectations into practical program actions.</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Reviewed and modernized cybersecurity policies, standards, and guidelines to meet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Held executive accountability for global cybersecurity and risk management across 45 countries supporting $1.7T AUM, leading a large, complex program at enterprise scale.</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Served as architectural risk advisor on the world's first SEC-approved tokenized government money fund, assessing blockchain, cryptography, and operational risk to support a novel investment structure.</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Founded and led a cybersecurity advisory practice (CISO-for-Hire), owning business development, engagement delivery, and practice P&amp;L across financial services and other regulated industries.</w:t>
      </w:r>
    </w:p>
    <w:p w14:paraId="3D1EA51A" w14:textId="13ED2F51" w:rsidR="00972243" w:rsidRDefault="00972243" w:rsidP="005D3745">
      <w:pPr>
        <w:pStyle w:val="LuCVbluebullets"/>
        <w:tabs>
          <w:tab w:val="right" w:pos="10800"/>
        </w:tabs>
      </w:pPr>
      <w:r>
        <w:t>Built C-suite and board relationships, and originated, scoped, and closed advisory engagements while serving as executive sponsor on key accounts.</w:t>
      </w:r>
    </w:p>
    <w:p w14:paraId="3D1EA51A" w14:textId="13ED2F51" w:rsidR="00972243" w:rsidRDefault="00972243" w:rsidP="005D3745">
      <w:pPr>
        <w:pStyle w:val="LuCVbluebullets"/>
        <w:tabs>
          <w:tab w:val="right" w:pos="10800"/>
        </w:tabs>
      </w:pPr>
      <w:r>
        <w:t>Led buy- and sell-side cybersecurity due diligence, assessing target security maturity, regulatory exposure, and operational resilience, and advising on risks affecting valuation, deal structure, and post-close remediation.</w:t>
      </w:r>
    </w:p>
    <w:p w14:paraId="3D1EA51A" w14:textId="13ED2F51" w:rsidR="00972243" w:rsidRDefault="00972243" w:rsidP="005D3745">
      <w:pPr>
        <w:pStyle w:val="LuCVbluebullets"/>
        <w:tabs>
          <w:tab w:val="right" w:pos="10800"/>
        </w:tabs>
      </w:pPr>
      <w:r>
        <w:t>Established the practice's service offerings, delivery methodology, and standards, and built and mentored the engagement teams that delivered them.</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Delivered cybersecurity and technology-risk consulting to capital markets, wealth management, and retail banking clients as part of a Big Four advisory practice.</w:t>
      </w:r>
    </w:p>
    <w:p w14:paraId="3FC7C937" w14:textId="5F66942F" w:rsidR="00EE0E48" w:rsidRDefault="00972243" w:rsidP="00EE0E48">
      <w:pPr>
        <w:pStyle w:val="LuCVbluebullets"/>
        <w:tabs>
          <w:tab w:val="right" w:pos="10800"/>
        </w:tabs>
      </w:pPr>
      <w:r>
        <w:t>Led large-scale regulatory and security transformation programs and presented risk findings and recommendations to client executives and boards.</w:t>
      </w:r>
    </w:p>
    <w:p w14:paraId="3FC7C937" w14:textId="5F66942F" w:rsidR="00EE0E48" w:rsidRDefault="00972243" w:rsidP="00EE0E48">
      <w:pPr>
        <w:pStyle w:val="LuCVbluebullets"/>
        <w:tabs>
          <w:tab w:val="right" w:pos="10800"/>
        </w:tabs>
      </w:pPr>
      <w:r>
        <w:t>Shaped engagement methodology and developed junior consultants as the security practice grew.</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