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Global technology &amp; risk executive | financial services platforms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Identity, Cloud &amp; Data Platform Architecture Advisory</w:t>
      </w:r>
    </w:p>
    <w:p w14:paraId="549E51F5" w14:textId="0CE22447" w:rsidR="00972243" w:rsidRPr="00332ABC" w:rsidRDefault="00972243" w:rsidP="006C0298">
      <w:pPr>
        <w:pStyle w:val="LuHeading"/>
        <w:tabs>
          <w:tab w:val="left" w:pos="10800"/>
        </w:tabs>
        <w:spacing w:before="0" w:after="240"/>
      </w:pPr>
      <w:r w:rsidRPr="00332ABC">
        <w:rPr>
          <w:sz w:val="22"/>
          <w:szCs w:val="22"/>
        </w:rPr>
        <w:t>Global Technology Leadership | Executive Communication &amp; Team Development</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technology and risk executive with 20+ years of experience leading global platform, cloud, and identity security functions across financial institutions and asset managers. Background spans architecting and overseeing large-scale technology ecosystems, including enterprise platforms, cloud environments, and third-party integrations across 45 countries supporting $1.7T in AUM. Served as architectural advisor on the world's first SEC-approved tokenized government money fund, working on blockchain and platform infrastructure with executive and investor stakeholders. Proven track record building and leading global technical teams and translating complex technology strategy into clear guidance for C-level leaders and non-technical stakeholders.</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Oversee technology risk and architecture across enterprise platforms, cloud environments, and third-party ecosystems, with focus on data protection, privacy, and identity and access management.</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platform and technology strategy with regulatory expectations and business objectives.</w:t>
      </w:r>
    </w:p>
    <w:p w14:paraId="6BFD4CB9" w14:textId="051439EA" w:rsidR="00972243" w:rsidRDefault="00972243" w:rsidP="005D3745">
      <w:pPr>
        <w:pStyle w:val="LuCVbluebullets"/>
        <w:tabs>
          <w:tab w:val="left" w:pos="10800"/>
        </w:tabs>
      </w:pPr>
      <w:r>
        <w:t>Lead, coach, and set standards for a global, distributed team of senior technology and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advisory oversight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liaison with global regulators on cybersecurity posture, resilience, and remediation strategy.</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Reviewed and modernized cybersecurity policies, standards, and guidelines to meet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technology and risk leadership across 45 countries supporting a platform serving $1.7T in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shaping platform architecture involving blockchain, cryptography, and operational design.</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architecture guidance on post-quantum cryptography and its applicability to platforms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