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risk management executive | financial services</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Second line of defense advisory | regulatory engagement &amp; audit liaison</w:t>
      </w:r>
    </w:p>
    <w:p w14:paraId="549E51F5" w14:textId="0CE22447" w:rsidR="00972243" w:rsidRPr="00332ABC" w:rsidRDefault="00972243" w:rsidP="006C0298">
      <w:pPr>
        <w:pStyle w:val="LuHeading"/>
        <w:tabs>
          <w:tab w:val="left" w:pos="10800"/>
        </w:tabs>
        <w:spacing w:before="0" w:after="240"/>
      </w:pPr>
      <w:r w:rsidRPr="00332ABC">
        <w:rPr>
          <w:sz w:val="22"/>
          <w:szCs w:val="22"/>
        </w:rPr>
        <w:t>Enterprise risk framework, controls &amp; operational resilience</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risk management executive with 20+ years of experience across global financial institutions, asset managers, and advisory roles. Deep background in enterprise risk oversight, second line of defense advisory, regulatory engagement, and operational resilience, with a demonstrated ability to translate complex risk concepts into clear, executive-level guidance. Extensive experience partnering with business leadership, regulators, and audit functions to strengthen control environments and drive sustainable remediation. Proven track record influencing senior executives and building high-performing, collaborative risk teams.</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global cyber risk oversight for data protection, privacy, and identity security across enterprise platforms, cloud environments, and third-party ecosystems.</w:t>
      </w:r>
    </w:p>
    <w:p w14:paraId="1953782A" w14:textId="77777777" w:rsidR="00972243" w:rsidRDefault="00972243" w:rsidP="005D3745">
      <w:pPr>
        <w:pStyle w:val="LuCVbluebullets"/>
        <w:tabs>
          <w:tab w:val="left" w:pos="10800"/>
        </w:tabs>
      </w:pPr>
      <w:r>
        <w:t>Advise senior executives on cyber risk exposure, control effectiveness, and practical risk-reduction actions impacting customers, employees, and business operations.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and business leadership to align risk posture with regulatory expectations and enterprise risk frameworks.</w:t>
      </w:r>
    </w:p>
    <w:p w14:paraId="6BFD4CB9" w14:textId="051439EA" w:rsidR="00972243" w:rsidRDefault="00972243" w:rsidP="005D3745">
      <w:pPr>
        <w:pStyle w:val="LuCVbluebullets"/>
        <w:tabs>
          <w:tab w:val="left" w:pos="10800"/>
        </w:tabs>
      </w:pPr>
      <w:r>
        <w:t>Lead, coach, and set standards for a global team of senior cyber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cyber risk leader within Citi's Second Line of Defense providing independent challenge and advisory oversight across vulnerability management, incident response, threat intelligence, security operations, and policy governance.</w:t>
      </w:r>
    </w:p>
    <w:p w14:paraId="5A7E5216" w14:textId="77777777" w:rsidR="00972243" w:rsidRDefault="00972243" w:rsidP="005D3745">
      <w:pPr>
        <w:pStyle w:val="LuCVbluebullets"/>
        <w:tabs>
          <w:tab w:val="left" w:pos="10800"/>
        </w:tabs>
      </w:pPr>
      <w:r>
        <w:t>Advised senior leadership on risk exposure, residual risk, and prioritization across global financial services operations, supporting responsible growth.</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Acted as key liaison with global regulators on cybersecurity posture, resilience, and remediation strategy, ensuring timely and sustainable closure of findings.</w:t>
      </w:r>
    </w:p>
    <w:p w14:paraId="66ED3D39" w14:textId="77777777" w:rsidR="00972243" w:rsidRDefault="00972243" w:rsidP="005D3745">
      <w:pPr>
        <w:pStyle w:val="LuCVbluebullets"/>
        <w:tabs>
          <w:tab w:val="left" w:pos="10800"/>
        </w:tabs>
      </w:pPr>
      <w:r>
        <w:t>Oversaw global scenario-based exercises focused on preparedness, judgment, and executive response readiness, strengthening operational resilience.</w:t>
      </w:r>
    </w:p>
    <w:p w14:paraId="2C8A36CA" w14:textId="36843124" w:rsidR="00972243" w:rsidRDefault="00972243" w:rsidP="005D3745">
      <w:pPr>
        <w:pStyle w:val="LuCVbluebullets"/>
        <w:tabs>
          <w:tab w:val="left" w:pos="10800"/>
        </w:tabs>
      </w:pPr>
      <w:r>
        <w:t>Reviewed and modernized risk policies, standards, and guidelines to meet regulatory expectations and strengthen the control environment.</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risk management across 45 countries supporting $1.7T AUM, embedding risk frameworks into daily operations.</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