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 and risk governance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Second-line risk oversight and regulatory engagement</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and Privacy Risk | Policy Governance and Executive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and risk executive with 20+ years of experience across global financial institutions, asset managers, and advisory roles, including second-line risk oversight of large operational security organizations at Citigroup (300+) and American Express (150+), and CISO-level accountability at Franklin Templeton ($1.7T AUM, 45 countries). Deep background in identity, data, and privacy risk, cybersecurity policy governance, AI governance, and regulatory engagement, with a consistent record of translating complex technical and emerging risk topics, including AI-driven threat research and AI risk frameworks such as the NIST AI RMF, into clear guidance for executives, regulators, and non-technical stakeholders. Experienced in reviewing and modernizing risk frameworks, controls, and oversight routines within large regulated financial institutions.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serving as second-line risk owner for Data Loss Prevention (DLP) and directing corrective action across a first-line organization of 150+, with additional focus on data security, privacy, and identity &amp; access management (IAM).</w:t>
      </w:r>
    </w:p>
    <w:p w14:paraId="55F8F9FC" w14:textId="3F82D5C9" w:rsidR="00972243" w:rsidRDefault="00972243" w:rsidP="005D3745">
      <w:pPr>
        <w:pStyle w:val="LuCVbluebullets"/>
        <w:tabs>
          <w:tab w:val="left" w:pos="10800"/>
        </w:tabs>
      </w:pPr>
      <w:r>
        <w:t>Lead global cyber risk governance for data protection, privacy, and identity security across enterprise platforms, cloud environments, and third-party ecosystems, translating policy and regulatory expectations into practical controls.</w:t>
        <w:br/>
        <w:t>Lead Amex's formal AAA (AI / Analytics / Automation) program, driving enterprise adoption of agentic AI capabilities and authoring the company's policies governing agentic AI usage.</w:t>
        <w:br/>
        <w:t>Contribute to AI governance for emerging AI and machine-learning systems, applying the NIST AI RMF (AI 600-1) to model and data-risk controls.</w:t>
      </w:r>
    </w:p>
    <w:p w14:paraId="1953782A" w14:textId="77777777" w:rsidR="00972243" w:rsidRDefault="00972243" w:rsidP="005D3745">
      <w:pPr>
        <w:pStyle w:val="LuCVbluebullets"/>
        <w:tabs>
          <w:tab w:val="left" w:pos="10800"/>
        </w:tabs>
      </w:pPr>
      <w:r>
        <w:t>Advise senior executives on cyber risk exposure, control effectiveness, and risk-reduction actions, providing clear governance reporting on program status and control maturity.</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second-line risk leader within Citi's Second Line of Defense, directing first-line teams of 300+ across Citi's Fusion Center and providing independent challenge and oversight of first-line controls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direct liaison with global regulators on cybersecurity posture, resilience, and remediation strategy, preparing executive-ready materials for regulatory review.</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standards, and guidelines, translating regulatory expectations into practical, auditable control requirements.</w:t>
        <w:br/>
        <w:t>Provided independent challenge on AI risk governance for AI-enabled systems.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the ability to translate complex AI risk topics into clear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Graduate School of State University of New York, Binghamton, NY</w:t>
      </w:r>
      <w:r w:rsidRPr="00F5399C">
        <w:rPr>
          <w:sz w:val="20"/>
          <w:szCs w:val="22"/>
        </w:rPr>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