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risk executive | financial services &amp; asset management</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leadership | regulatory &amp; enterprise risk</w:t>
      </w:r>
    </w:p>
    <w:p w14:paraId="549E51F5" w14:textId="0CE22447" w:rsidR="00972243" w:rsidRPr="00332ABC" w:rsidRDefault="00972243" w:rsidP="006C0298">
      <w:pPr>
        <w:pStyle w:val="LuHeading"/>
        <w:tabs>
          <w:tab w:val="left" w:pos="10800"/>
        </w:tabs>
        <w:spacing w:before="0" w:after="240"/>
      </w:pPr>
      <w:r w:rsidRPr="00332ABC">
        <w:rPr>
          <w:sz w:val="22"/>
          <w:szCs w:val="22"/>
        </w:rPr>
        <w:t>Risk Governance, Resilience &amp; Incident Management | Executive Communication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executive with 20+ years of experience building and leading second line of defense, enterprise risk, and regulatory compliance functions across global financial institutions and asset managers. Background spans risk oversight, incident and crisis management, regulatory liaison work, and policy governance, with a consistent record of translating complex risk into clear guidance for executive leadership and boards. Experienced advising senior leaders and regulators, setting risk standards, and leading teams responsible for organizational resilience.</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enterprise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risk leader within Citi's Second Line of Defense, providing independent challenge and advisory oversight across enterprise risk, incident response, resilience,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risk posture, resilience, and remediation strategy.</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risk and security policies, standards, and guidelines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operational, and enterprise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 to strengthen organizational resilience.</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