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cybersecurity GRC executive | financial services &amp; fintech</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Second-Line Risk Oversight | Regulatory Engagement &amp; Policy Governance</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Executive Education &amp; Advisory</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risk and governance executive with 20+ years across global financial institutions and asset managers, including second-line of defense leadership at Citigroup (300+) and American Express (150+) and CISO-level accountability at Franklin Templeton ($1.7T AUM, 45 countries).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leading American Express' global cybersecurity GRC and risk oversight organization, driving governance, policy, and compliance across data security, privacy, and identity &amp; access management (IAM). Serve as global second-line risk owner for Data Loss Prevention (DLP), providing independent oversight and challenge of the first-line DLP program and directing corrective action across a first-line organization of 150+.</w:t>
      </w:r>
    </w:p>
    <w:p w14:paraId="55F8F9FC" w14:textId="3F82D5C9" w:rsidR="00972243" w:rsidRDefault="00972243" w:rsidP="005D3745">
      <w:pPr>
        <w:pStyle w:val="LuCVbluebullets"/>
        <w:tabs>
          <w:tab w:val="left" w:pos="10800"/>
        </w:tabs>
      </w:pPr>
      <w:r>
        <w:t>Lead global GRC and cyber risk governance for data protection, privacy, and identity security across enterprise platforms, cloud,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governance and compliance programs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Provided second-line independent risk oversight of Citi's Fusion Center, directing first-line teams (300+) on corrective action across threat intelligence, monitoring, and coordinated response capabilities. Senior GRC and cyber risk leader within Citi's Second Line of Defense, providing independent governance oversight and challenge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regulatory liaison on cybersecurity governance, resilience, and remediation strategy across global operations, supporting audit and examination readiness.</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Led governance efforts to review and modernize cybersecurity policies, standards, and guidelines to meet regulatory expectations and audit readiness.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 to strengthen organizational resilience and regulatory readiness.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