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security &amp; risk executive | financial services</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Global incident response, crisis management &amp; vendor oversight</w:t>
      </w:r>
    </w:p>
    <w:p w14:paraId="549E51F5" w14:textId="0CE22447" w:rsidR="00972243" w:rsidRPr="00332ABC" w:rsidRDefault="00972243" w:rsidP="006C0298">
      <w:pPr>
        <w:pStyle w:val="LuHeading"/>
        <w:tabs>
          <w:tab w:val="left" w:pos="10800"/>
        </w:tabs>
        <w:spacing w:before="0" w:after="240"/>
      </w:pPr>
      <w:r w:rsidRPr="00332ABC">
        <w:rPr>
          <w:sz w:val="22"/>
          <w:szCs w:val="22"/>
        </w:rPr>
        <w:t>Risk Program Governance &amp; Regulatory Liaison | Executive Education</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risk and security executive with 20+ years leading global risk programs across financial services, technology, and consulting environments. Extensive experience overseeing incident response planning, crisis simulations, and executive tabletop exercises across operations spanning 45 countries. Skilled at translating complex operational and security risk into clear guidance for senior leaders, and experienced coordinating with regulators, vendors, and cross-functional teams. Proven track record building and leading global teams responsible for operational resilience and risk governance.</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cyber risk oversight for data protection, privacy, and identity security across enterprise platforms, cloud environments, and third-party ecosystems.</w:t>
      </w:r>
    </w:p>
    <w:p w14:paraId="1953782A" w14:textId="77777777" w:rsidR="00972243" w:rsidRDefault="00972243" w:rsidP="005D3745">
      <w:pPr>
        <w:pStyle w:val="LuCVbluebullets"/>
        <w:tabs>
          <w:tab w:val="left" w:pos="10800"/>
        </w:tabs>
      </w:pPr>
      <w:r>
        <w:t>Advise senior executives on cyber risk exposure, control effectiveness, and practical risk-reduction actions impacting customers, employees, and business operations.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and business objectives.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cyber risk leader within Citi's Second Line of Defense providing independent challenge and advisory oversight across vulnerability management, incident response, threat intelligence, security operations, and policy governance.</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liaison with global regulators on operational posture, resilience, and remediation strategy.</w:t>
      </w:r>
    </w:p>
    <w:p w14:paraId="66ED3D39" w14:textId="77777777" w:rsidR="00972243" w:rsidRDefault="00972243" w:rsidP="005D3745">
      <w:pPr>
        <w:pStyle w:val="LuCVbluebullets"/>
        <w:tabs>
          <w:tab w:val="left" w:pos="10800"/>
        </w:tabs>
      </w:pPr>
      <w:r>
        <w:t>Oversaw global emulation exercises focused on organizational preparedness, judgment, and executive response readiness in high-risk scenarios.</w:t>
      </w:r>
    </w:p>
    <w:p w14:paraId="2C8A36CA" w14:textId="36843124" w:rsidR="00972243" w:rsidRDefault="00972243" w:rsidP="005D3745">
      <w:pPr>
        <w:pStyle w:val="LuCVbluebullets"/>
        <w:tabs>
          <w:tab w:val="left" w:pos="10800"/>
        </w:tabs>
      </w:pPr>
      <w:r>
        <w:t>Reviewed and modernized security policies, standards, and guidelines to meet regulatory and governance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risk management operations across 45 countries, supporting $1.7T in assets under management.</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 across global operations.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